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0569" w14:textId="77777777" w:rsidR="00FA5230" w:rsidRPr="00304E9D" w:rsidRDefault="00FA5230" w:rsidP="00FA5230">
      <w:pPr>
        <w:rPr>
          <w:rFonts w:ascii="Garamond" w:hAnsi="Garamond"/>
        </w:rPr>
      </w:pPr>
    </w:p>
    <w:p w14:paraId="078AA8F2" w14:textId="750ED1DC" w:rsidR="002371D0" w:rsidRPr="00304E9D" w:rsidRDefault="006D4648" w:rsidP="00FA5230">
      <w:pPr>
        <w:rPr>
          <w:rFonts w:ascii="Garamond" w:hAnsi="Garamond"/>
        </w:rPr>
      </w:pPr>
      <w:r w:rsidRPr="00304E9D">
        <w:rPr>
          <w:rFonts w:ascii="Garamond" w:hAnsi="Garamond"/>
        </w:rPr>
        <w:t xml:space="preserve">Midwest Area Workshop in Metaphysics  </w:t>
      </w:r>
      <w:r w:rsidR="002371D0" w:rsidRPr="00304E9D">
        <w:rPr>
          <w:rFonts w:ascii="Garamond" w:hAnsi="Garamond"/>
        </w:rPr>
        <w:t xml:space="preserve">                                                 </w:t>
      </w:r>
      <w:r w:rsidR="00525DA3">
        <w:rPr>
          <w:rFonts w:ascii="Garamond" w:hAnsi="Garamond"/>
        </w:rPr>
        <w:t xml:space="preserve">            </w:t>
      </w:r>
      <w:r w:rsidR="002371D0" w:rsidRPr="00304E9D">
        <w:rPr>
          <w:rFonts w:ascii="Garamond" w:hAnsi="Garamond"/>
        </w:rPr>
        <w:t xml:space="preserve">        </w:t>
      </w:r>
      <w:proofErr w:type="spellStart"/>
      <w:r w:rsidR="002371D0" w:rsidRPr="00304E9D">
        <w:rPr>
          <w:rFonts w:ascii="Garamond" w:hAnsi="Garamond"/>
        </w:rPr>
        <w:t>Elanor</w:t>
      </w:r>
      <w:proofErr w:type="spellEnd"/>
      <w:r w:rsidR="002371D0" w:rsidRPr="00304E9D">
        <w:rPr>
          <w:rFonts w:ascii="Garamond" w:hAnsi="Garamond"/>
        </w:rPr>
        <w:t xml:space="preserve"> Taylor</w:t>
      </w:r>
    </w:p>
    <w:p w14:paraId="54C7516C" w14:textId="6F218C43" w:rsidR="00525DA3" w:rsidRDefault="00304E9D" w:rsidP="00B7665F">
      <w:pPr>
        <w:rPr>
          <w:rFonts w:ascii="Garamond" w:hAnsi="Garamond"/>
        </w:rPr>
      </w:pPr>
      <w:r w:rsidRPr="00304E9D">
        <w:rPr>
          <w:rFonts w:ascii="Garamond" w:hAnsi="Garamond"/>
        </w:rPr>
        <w:t xml:space="preserve">University of Wisconsin at Madison      </w:t>
      </w:r>
      <w:r w:rsidR="002371D0" w:rsidRPr="00304E9D">
        <w:rPr>
          <w:rFonts w:ascii="Garamond" w:hAnsi="Garamond"/>
        </w:rPr>
        <w:t xml:space="preserve">                                        </w:t>
      </w:r>
      <w:r w:rsidR="00525DA3">
        <w:rPr>
          <w:rFonts w:ascii="Garamond" w:hAnsi="Garamond"/>
        </w:rPr>
        <w:t xml:space="preserve">            </w:t>
      </w:r>
      <w:r w:rsidR="002371D0" w:rsidRPr="00304E9D">
        <w:rPr>
          <w:rFonts w:ascii="Garamond" w:hAnsi="Garamond"/>
        </w:rPr>
        <w:t xml:space="preserve">  Johns Hopkins University</w:t>
      </w:r>
    </w:p>
    <w:p w14:paraId="56CE9FFF" w14:textId="6B1DBE7C" w:rsidR="00304E9D" w:rsidRDefault="00525DA3" w:rsidP="00B7665F">
      <w:pPr>
        <w:rPr>
          <w:rFonts w:ascii="Garamond" w:hAnsi="Garamond"/>
        </w:rPr>
      </w:pPr>
      <w:r>
        <w:rPr>
          <w:rFonts w:ascii="Garamond" w:hAnsi="Garamond"/>
        </w:rPr>
        <w:t>Friday 6</w:t>
      </w:r>
      <w:r w:rsidRPr="00525DA3">
        <w:rPr>
          <w:rFonts w:ascii="Garamond" w:hAnsi="Garamond"/>
          <w:vertAlign w:val="superscript"/>
        </w:rPr>
        <w:t>th</w:t>
      </w:r>
      <w:r>
        <w:rPr>
          <w:rFonts w:ascii="Garamond" w:hAnsi="Garamond"/>
        </w:rPr>
        <w:t xml:space="preserve"> October 2017</w:t>
      </w:r>
      <w:r w:rsidR="002371D0" w:rsidRPr="00304E9D">
        <w:rPr>
          <w:rFonts w:ascii="Garamond" w:hAnsi="Garamond"/>
        </w:rPr>
        <w:t xml:space="preserve">                                </w:t>
      </w:r>
      <w:r>
        <w:rPr>
          <w:rFonts w:ascii="Garamond" w:hAnsi="Garamond"/>
        </w:rPr>
        <w:t xml:space="preserve">                                </w:t>
      </w:r>
      <w:r w:rsidR="002371D0" w:rsidRPr="00304E9D">
        <w:rPr>
          <w:rFonts w:ascii="Garamond" w:hAnsi="Garamond"/>
        </w:rPr>
        <w:t xml:space="preserve">            </w:t>
      </w:r>
      <w:r w:rsidR="002A1465" w:rsidRPr="00304E9D">
        <w:rPr>
          <w:rFonts w:ascii="Garamond" w:hAnsi="Garamond"/>
        </w:rPr>
        <w:t xml:space="preserve">                 </w:t>
      </w:r>
      <w:hyperlink r:id="rId7" w:history="1">
        <w:r w:rsidRPr="00AE534D">
          <w:rPr>
            <w:rStyle w:val="Hyperlink"/>
            <w:rFonts w:ascii="Garamond" w:hAnsi="Garamond"/>
          </w:rPr>
          <w:t>elanort@jhu.edu</w:t>
        </w:r>
      </w:hyperlink>
    </w:p>
    <w:p w14:paraId="5F8746AD" w14:textId="77777777" w:rsidR="00525DA3" w:rsidRPr="00525DA3" w:rsidRDefault="00525DA3" w:rsidP="00B7665F">
      <w:pPr>
        <w:rPr>
          <w:rFonts w:ascii="Garamond" w:hAnsi="Garamond"/>
        </w:rPr>
      </w:pPr>
    </w:p>
    <w:p w14:paraId="5495D7F0" w14:textId="77777777" w:rsidR="00525DA3" w:rsidRDefault="00525DA3" w:rsidP="00525DA3">
      <w:pPr>
        <w:jc w:val="center"/>
        <w:rPr>
          <w:rFonts w:ascii="Garamond" w:hAnsi="Garamond"/>
          <w:b/>
          <w:i/>
        </w:rPr>
      </w:pPr>
    </w:p>
    <w:p w14:paraId="6C97A08C" w14:textId="339C1FAD" w:rsidR="00525DA3" w:rsidRPr="00B7665F" w:rsidRDefault="002371D0" w:rsidP="00525DA3">
      <w:pPr>
        <w:jc w:val="center"/>
        <w:rPr>
          <w:rFonts w:ascii="Garamond" w:hAnsi="Garamond"/>
          <w:b/>
          <w:i/>
        </w:rPr>
      </w:pPr>
      <w:r w:rsidRPr="00304E9D">
        <w:rPr>
          <w:rFonts w:ascii="Garamond" w:hAnsi="Garamond"/>
          <w:b/>
          <w:i/>
        </w:rPr>
        <w:t>Explanatory Distance</w:t>
      </w:r>
    </w:p>
    <w:p w14:paraId="10D97C35" w14:textId="77777777" w:rsidR="00FA5230" w:rsidRPr="00304E9D" w:rsidRDefault="00FA5230" w:rsidP="00FA5230">
      <w:pPr>
        <w:rPr>
          <w:rFonts w:ascii="Garamond" w:hAnsi="Garamond"/>
        </w:rPr>
      </w:pPr>
      <w:r w:rsidRPr="00304E9D">
        <w:rPr>
          <w:rFonts w:ascii="Garamond" w:hAnsi="Garamond"/>
        </w:rPr>
        <w:t>Cases:</w:t>
      </w:r>
    </w:p>
    <w:p w14:paraId="476AD4A4" w14:textId="77777777" w:rsidR="008F23BC" w:rsidRPr="00304E9D" w:rsidRDefault="008F23BC" w:rsidP="00FA5230">
      <w:pPr>
        <w:rPr>
          <w:rFonts w:ascii="Garamond" w:hAnsi="Garamond"/>
        </w:rPr>
      </w:pPr>
    </w:p>
    <w:p w14:paraId="49B1B2A3" w14:textId="77777777" w:rsidR="002371D0" w:rsidRPr="00304E9D" w:rsidRDefault="00FA5230" w:rsidP="002371D0">
      <w:pPr>
        <w:pStyle w:val="ETStandard"/>
        <w:numPr>
          <w:ilvl w:val="0"/>
          <w:numId w:val="6"/>
        </w:numPr>
      </w:pPr>
      <w:r w:rsidRPr="00304E9D">
        <w:t xml:space="preserve">Opium reliably sends people to sleep because it has a </w:t>
      </w:r>
      <w:proofErr w:type="spellStart"/>
      <w:r w:rsidRPr="00304E9D">
        <w:t>dormitive</w:t>
      </w:r>
      <w:proofErr w:type="spellEnd"/>
      <w:r w:rsidRPr="00304E9D">
        <w:t xml:space="preserve"> virtue.</w:t>
      </w:r>
      <w:r w:rsidRPr="00304E9D">
        <w:tab/>
      </w:r>
    </w:p>
    <w:p w14:paraId="67158B80" w14:textId="2ABE9BB5" w:rsidR="0055327C" w:rsidRPr="00304E9D" w:rsidRDefault="002371D0" w:rsidP="0055327C">
      <w:pPr>
        <w:pStyle w:val="ETStandard"/>
        <w:numPr>
          <w:ilvl w:val="0"/>
          <w:numId w:val="6"/>
        </w:numPr>
      </w:pPr>
      <w:r w:rsidRPr="00304E9D">
        <w:t>The patient has symptoms a, b and c because</w:t>
      </w:r>
      <w:r w:rsidR="00B7665F">
        <w:t xml:space="preserve"> they have syndrome X (the syndrome</w:t>
      </w:r>
      <w:r w:rsidRPr="00304E9D">
        <w:t xml:space="preserve"> where you have symptoms a, b and c). </w:t>
      </w:r>
    </w:p>
    <w:p w14:paraId="130A46D7" w14:textId="77777777" w:rsidR="00525DA3" w:rsidRDefault="00525DA3" w:rsidP="00C56B2C">
      <w:pPr>
        <w:rPr>
          <w:rFonts w:ascii="Garamond" w:hAnsi="Garamond"/>
        </w:rPr>
      </w:pPr>
    </w:p>
    <w:p w14:paraId="1A7D8A4C" w14:textId="77777777" w:rsidR="00404C25" w:rsidRDefault="00404C25" w:rsidP="00C56B2C">
      <w:pPr>
        <w:rPr>
          <w:rFonts w:ascii="Garamond" w:hAnsi="Garamond"/>
        </w:rPr>
      </w:pPr>
    </w:p>
    <w:p w14:paraId="16AD2A8A" w14:textId="0C45A868" w:rsidR="00C56B2C" w:rsidRPr="00304E9D" w:rsidRDefault="00C56B2C" w:rsidP="00C56B2C">
      <w:pPr>
        <w:rPr>
          <w:rFonts w:ascii="Garamond" w:hAnsi="Garamond"/>
        </w:rPr>
      </w:pPr>
      <w:r w:rsidRPr="00304E9D">
        <w:rPr>
          <w:rFonts w:ascii="Garamond" w:hAnsi="Garamond"/>
        </w:rPr>
        <w:t>1. What is explanatory distance?</w:t>
      </w:r>
    </w:p>
    <w:p w14:paraId="114AA75D" w14:textId="77777777" w:rsidR="00C56B2C" w:rsidRPr="00304E9D" w:rsidRDefault="00C56B2C" w:rsidP="00C56B2C">
      <w:pPr>
        <w:rPr>
          <w:rFonts w:ascii="Garamond" w:hAnsi="Garamond"/>
        </w:rPr>
      </w:pPr>
    </w:p>
    <w:p w14:paraId="4F1214E9" w14:textId="10A65704" w:rsidR="00C56B2C" w:rsidRPr="00304E9D" w:rsidRDefault="00C56B2C" w:rsidP="00C56B2C">
      <w:pPr>
        <w:rPr>
          <w:rFonts w:ascii="Garamond" w:hAnsi="Garamond"/>
        </w:rPr>
      </w:pPr>
      <w:r w:rsidRPr="00304E9D">
        <w:rPr>
          <w:rFonts w:ascii="Garamond" w:hAnsi="Garamond"/>
        </w:rPr>
        <w:t>Some explanation</w:t>
      </w:r>
      <w:r w:rsidR="008F23BC" w:rsidRPr="00304E9D">
        <w:rPr>
          <w:rFonts w:ascii="Garamond" w:hAnsi="Garamond"/>
        </w:rPr>
        <w:t>s</w:t>
      </w:r>
      <w:r w:rsidRPr="00304E9D">
        <w:rPr>
          <w:rFonts w:ascii="Garamond" w:hAnsi="Garamond"/>
        </w:rPr>
        <w:t xml:space="preserve"> fail because there is insufficient distance between the </w:t>
      </w:r>
      <w:proofErr w:type="spellStart"/>
      <w:r w:rsidRPr="00304E9D">
        <w:rPr>
          <w:rFonts w:ascii="Garamond" w:hAnsi="Garamond"/>
        </w:rPr>
        <w:t>explanans</w:t>
      </w:r>
      <w:proofErr w:type="spellEnd"/>
      <w:r w:rsidRPr="00304E9D">
        <w:rPr>
          <w:rFonts w:ascii="Garamond" w:hAnsi="Garamond"/>
        </w:rPr>
        <w:t xml:space="preserve"> (which does the explaining) and the </w:t>
      </w:r>
      <w:proofErr w:type="spellStart"/>
      <w:r w:rsidRPr="00304E9D">
        <w:rPr>
          <w:rFonts w:ascii="Garamond" w:hAnsi="Garamond"/>
        </w:rPr>
        <w:t>explanandum</w:t>
      </w:r>
      <w:proofErr w:type="spellEnd"/>
      <w:r w:rsidRPr="00304E9D">
        <w:rPr>
          <w:rFonts w:ascii="Garamond" w:hAnsi="Garamond"/>
        </w:rPr>
        <w:t xml:space="preserve"> (the thing explained). </w:t>
      </w:r>
    </w:p>
    <w:p w14:paraId="7472F26E" w14:textId="77777777" w:rsidR="002371D0" w:rsidRPr="00304E9D" w:rsidRDefault="002371D0" w:rsidP="00C56B2C">
      <w:pPr>
        <w:rPr>
          <w:rFonts w:ascii="Garamond" w:hAnsi="Garamond"/>
        </w:rPr>
      </w:pPr>
    </w:p>
    <w:p w14:paraId="78CB4CE9" w14:textId="1A882D33" w:rsidR="002371D0" w:rsidRPr="00304E9D" w:rsidRDefault="002371D0" w:rsidP="00C56B2C">
      <w:pPr>
        <w:rPr>
          <w:rFonts w:ascii="Garamond" w:hAnsi="Garamond"/>
        </w:rPr>
      </w:pPr>
      <w:r w:rsidRPr="00304E9D">
        <w:rPr>
          <w:rFonts w:ascii="Garamond" w:hAnsi="Garamond"/>
        </w:rPr>
        <w:t xml:space="preserve">Dilemma about the </w:t>
      </w:r>
      <w:proofErr w:type="spellStart"/>
      <w:r w:rsidRPr="00304E9D">
        <w:rPr>
          <w:rFonts w:ascii="Garamond" w:hAnsi="Garamond"/>
        </w:rPr>
        <w:t>dormitive</w:t>
      </w:r>
      <w:proofErr w:type="spellEnd"/>
      <w:r w:rsidRPr="00304E9D">
        <w:rPr>
          <w:rFonts w:ascii="Garamond" w:hAnsi="Garamond"/>
        </w:rPr>
        <w:t xml:space="preserve"> virtue case</w:t>
      </w:r>
    </w:p>
    <w:p w14:paraId="2A5276AA" w14:textId="0006F756" w:rsidR="002371D0" w:rsidRPr="00304E9D" w:rsidRDefault="002371D0" w:rsidP="00304E9D">
      <w:pPr>
        <w:rPr>
          <w:rFonts w:ascii="Garamond" w:hAnsi="Garamond"/>
        </w:rPr>
      </w:pPr>
      <w:r w:rsidRPr="00304E9D">
        <w:rPr>
          <w:rFonts w:ascii="Garamond" w:hAnsi="Garamond"/>
        </w:rPr>
        <w:t xml:space="preserve">Option 1: There is a </w:t>
      </w:r>
      <w:r w:rsidRPr="00304E9D">
        <w:rPr>
          <w:rFonts w:ascii="Garamond" w:hAnsi="Garamond"/>
          <w:i/>
        </w:rPr>
        <w:t>power</w:t>
      </w:r>
      <w:r w:rsidR="002A1465" w:rsidRPr="00304E9D">
        <w:rPr>
          <w:rFonts w:ascii="Garamond" w:hAnsi="Garamond"/>
        </w:rPr>
        <w:t>/</w:t>
      </w:r>
      <w:r w:rsidRPr="00304E9D">
        <w:rPr>
          <w:rFonts w:ascii="Garamond" w:hAnsi="Garamond"/>
          <w:i/>
        </w:rPr>
        <w:t>disposition</w:t>
      </w:r>
      <w:r w:rsidRPr="00304E9D">
        <w:rPr>
          <w:rFonts w:ascii="Garamond" w:hAnsi="Garamond"/>
        </w:rPr>
        <w:t xml:space="preserve"> that metaphysically explains the pattern in opium’s behavior.</w:t>
      </w:r>
    </w:p>
    <w:p w14:paraId="1F5AE679" w14:textId="66343299" w:rsidR="002371D0" w:rsidRPr="00304E9D" w:rsidRDefault="002371D0" w:rsidP="00304E9D">
      <w:pPr>
        <w:rPr>
          <w:rFonts w:ascii="Garamond" w:hAnsi="Garamond"/>
        </w:rPr>
      </w:pPr>
      <w:r w:rsidRPr="00304E9D">
        <w:rPr>
          <w:rFonts w:ascii="Garamond" w:hAnsi="Garamond"/>
        </w:rPr>
        <w:t>Option 2:  There is no such power, a</w:t>
      </w:r>
      <w:r w:rsidR="002A1465" w:rsidRPr="00304E9D">
        <w:rPr>
          <w:rFonts w:ascii="Garamond" w:hAnsi="Garamond"/>
        </w:rPr>
        <w:t>nd, “</w:t>
      </w:r>
      <w:proofErr w:type="spellStart"/>
      <w:r w:rsidR="002A1465" w:rsidRPr="00304E9D">
        <w:rPr>
          <w:rFonts w:ascii="Garamond" w:hAnsi="Garamond"/>
        </w:rPr>
        <w:t>dormitive</w:t>
      </w:r>
      <w:proofErr w:type="spellEnd"/>
      <w:r w:rsidR="002A1465" w:rsidRPr="00304E9D">
        <w:rPr>
          <w:rFonts w:ascii="Garamond" w:hAnsi="Garamond"/>
        </w:rPr>
        <w:t xml:space="preserve"> virtue” just means, “</w:t>
      </w:r>
      <w:r w:rsidRPr="00304E9D">
        <w:rPr>
          <w:rFonts w:ascii="Garamond" w:hAnsi="Garamond"/>
        </w:rPr>
        <w:t>reliably induces sleep in humans”.</w:t>
      </w:r>
    </w:p>
    <w:p w14:paraId="03B90245" w14:textId="77777777" w:rsidR="00C56B2C" w:rsidRPr="00304E9D" w:rsidRDefault="00C56B2C" w:rsidP="00C56B2C">
      <w:pPr>
        <w:rPr>
          <w:rFonts w:ascii="Garamond" w:hAnsi="Garamond"/>
        </w:rPr>
      </w:pPr>
    </w:p>
    <w:p w14:paraId="7B31E66B" w14:textId="77777777" w:rsidR="00525DA3" w:rsidRDefault="0055327C" w:rsidP="00525DA3">
      <w:pPr>
        <w:rPr>
          <w:rFonts w:ascii="Garamond" w:hAnsi="Garamond"/>
        </w:rPr>
      </w:pPr>
      <w:r w:rsidRPr="00304E9D">
        <w:rPr>
          <w:rFonts w:ascii="Garamond" w:hAnsi="Garamond"/>
        </w:rPr>
        <w:t>Summary of DSM on Intermittent Explosive Disorder</w:t>
      </w:r>
      <w:r w:rsidR="00525DA3">
        <w:rPr>
          <w:rFonts w:ascii="Garamond" w:hAnsi="Garamond"/>
        </w:rPr>
        <w:t xml:space="preserve">: </w:t>
      </w:r>
    </w:p>
    <w:p w14:paraId="2BF663F2" w14:textId="4461877D" w:rsidR="0055327C" w:rsidRPr="00304E9D" w:rsidRDefault="0055327C" w:rsidP="00525DA3">
      <w:pPr>
        <w:ind w:left="720"/>
        <w:rPr>
          <w:rFonts w:ascii="Garamond" w:hAnsi="Garamond"/>
        </w:rPr>
      </w:pPr>
      <w:r w:rsidRPr="00304E9D">
        <w:rPr>
          <w:rFonts w:ascii="Garamond" w:hAnsi="Garamond"/>
        </w:rPr>
        <w:t>Recurrent behavioral outbursts representing a failure to control aggressive impulses as manifested by either of the following: Verbal aggression occurring twice weekly, on average for a period of three months, or three behavioral outbursts involving destruction of property and/</w:t>
      </w:r>
      <w:r w:rsidR="00B7665F">
        <w:rPr>
          <w:rFonts w:ascii="Garamond" w:hAnsi="Garamond"/>
        </w:rPr>
        <w:t>or physical assault within a 12-</w:t>
      </w:r>
      <w:r w:rsidR="00525DA3">
        <w:rPr>
          <w:rFonts w:ascii="Garamond" w:hAnsi="Garamond"/>
        </w:rPr>
        <w:t>month period. T</w:t>
      </w:r>
      <w:r w:rsidRPr="00304E9D">
        <w:rPr>
          <w:rFonts w:ascii="Garamond" w:hAnsi="Garamond"/>
        </w:rPr>
        <w:t>he aggressiveness is completely out of proportion, the outbursts are not premeditated, and the individual is distressed, impaired or faces some serious consequences as a result of the outbursts. The individual must be older than 6, and the outbursts not better explained by another mental disorder.</w:t>
      </w:r>
      <w:r w:rsidRPr="00304E9D">
        <w:rPr>
          <w:rStyle w:val="FootnoteReference"/>
          <w:rFonts w:ascii="Garamond" w:hAnsi="Garamond"/>
        </w:rPr>
        <w:footnoteReference w:id="1"/>
      </w:r>
    </w:p>
    <w:p w14:paraId="0C4C5D68" w14:textId="77777777" w:rsidR="00525DA3" w:rsidRDefault="00525DA3" w:rsidP="00C56B2C">
      <w:pPr>
        <w:rPr>
          <w:rFonts w:ascii="Garamond" w:hAnsi="Garamond"/>
        </w:rPr>
      </w:pPr>
    </w:p>
    <w:p w14:paraId="17BE905B" w14:textId="131BFC4A" w:rsidR="00C56B2C" w:rsidRPr="00304E9D" w:rsidRDefault="00525DA3" w:rsidP="00C56B2C">
      <w:pPr>
        <w:rPr>
          <w:rFonts w:ascii="Garamond" w:hAnsi="Garamond"/>
        </w:rPr>
      </w:pPr>
      <w:r>
        <w:rPr>
          <w:rFonts w:ascii="Garamond" w:hAnsi="Garamond"/>
        </w:rPr>
        <w:t>2. Failed account</w:t>
      </w:r>
      <w:r w:rsidR="00C56B2C" w:rsidRPr="00304E9D">
        <w:rPr>
          <w:rFonts w:ascii="Garamond" w:hAnsi="Garamond"/>
        </w:rPr>
        <w:t xml:space="preserve"> </w:t>
      </w:r>
      <w:r w:rsidR="00B7665F">
        <w:rPr>
          <w:rFonts w:ascii="Garamond" w:hAnsi="Garamond"/>
        </w:rPr>
        <w:t>1</w:t>
      </w:r>
      <w:r w:rsidR="00C56B2C" w:rsidRPr="00304E9D">
        <w:rPr>
          <w:rFonts w:ascii="Garamond" w:hAnsi="Garamond"/>
        </w:rPr>
        <w:t xml:space="preserve"> </w:t>
      </w:r>
    </w:p>
    <w:p w14:paraId="1A1AAB0D" w14:textId="77777777" w:rsidR="00C56B2C" w:rsidRPr="00304E9D" w:rsidRDefault="00C56B2C" w:rsidP="00C56B2C">
      <w:pPr>
        <w:rPr>
          <w:rFonts w:ascii="Garamond" w:hAnsi="Garamond"/>
        </w:rPr>
      </w:pPr>
    </w:p>
    <w:p w14:paraId="0C20C880" w14:textId="2D976FD2" w:rsidR="00C56B2C" w:rsidRPr="00304E9D" w:rsidRDefault="00C56B2C" w:rsidP="00C56B2C">
      <w:pPr>
        <w:ind w:left="720"/>
        <w:rPr>
          <w:rFonts w:ascii="Garamond" w:hAnsi="Garamond"/>
        </w:rPr>
      </w:pPr>
      <w:r w:rsidRPr="00304E9D">
        <w:rPr>
          <w:rFonts w:ascii="Garamond" w:hAnsi="Garamond"/>
        </w:rPr>
        <w:t xml:space="preserve">MODAL For sufficient explanatory distance there must be at least one metaphysically possible world in which the </w:t>
      </w:r>
      <w:proofErr w:type="spellStart"/>
      <w:r w:rsidRPr="00304E9D">
        <w:rPr>
          <w:rFonts w:ascii="Garamond" w:hAnsi="Garamond"/>
        </w:rPr>
        <w:t>explanandum</w:t>
      </w:r>
      <w:proofErr w:type="spellEnd"/>
      <w:r w:rsidRPr="00304E9D">
        <w:rPr>
          <w:rFonts w:ascii="Garamond" w:hAnsi="Garamond"/>
        </w:rPr>
        <w:t xml:space="preserve"> is true while the </w:t>
      </w:r>
      <w:proofErr w:type="spellStart"/>
      <w:r w:rsidRPr="00304E9D">
        <w:rPr>
          <w:rFonts w:ascii="Garamond" w:hAnsi="Garamond"/>
        </w:rPr>
        <w:t>explanans</w:t>
      </w:r>
      <w:proofErr w:type="spellEnd"/>
      <w:r w:rsidRPr="00304E9D">
        <w:rPr>
          <w:rFonts w:ascii="Garamond" w:hAnsi="Garamond"/>
        </w:rPr>
        <w:t xml:space="preserve"> is false, or in which the </w:t>
      </w:r>
      <w:proofErr w:type="spellStart"/>
      <w:r w:rsidRPr="00304E9D">
        <w:rPr>
          <w:rFonts w:ascii="Garamond" w:hAnsi="Garamond"/>
        </w:rPr>
        <w:t>explanans</w:t>
      </w:r>
      <w:proofErr w:type="spellEnd"/>
      <w:r w:rsidRPr="00304E9D">
        <w:rPr>
          <w:rFonts w:ascii="Garamond" w:hAnsi="Garamond"/>
        </w:rPr>
        <w:t xml:space="preserve"> is true while the </w:t>
      </w:r>
      <w:proofErr w:type="spellStart"/>
      <w:r w:rsidRPr="00304E9D">
        <w:rPr>
          <w:rFonts w:ascii="Garamond" w:hAnsi="Garamond"/>
        </w:rPr>
        <w:t>explanandum</w:t>
      </w:r>
      <w:proofErr w:type="spellEnd"/>
      <w:r w:rsidRPr="00304E9D">
        <w:rPr>
          <w:rFonts w:ascii="Garamond" w:hAnsi="Garamond"/>
        </w:rPr>
        <w:t xml:space="preserve"> is false.</w:t>
      </w:r>
    </w:p>
    <w:p w14:paraId="1D635A07" w14:textId="77777777" w:rsidR="003F59B9" w:rsidRPr="00304E9D" w:rsidRDefault="003F59B9" w:rsidP="00C56B2C">
      <w:pPr>
        <w:ind w:left="720"/>
        <w:rPr>
          <w:rFonts w:ascii="Garamond" w:hAnsi="Garamond"/>
        </w:rPr>
      </w:pPr>
    </w:p>
    <w:p w14:paraId="25DCA1F1" w14:textId="6BCEDA3B" w:rsidR="00304E9D" w:rsidRPr="00B7665F" w:rsidRDefault="0055327C" w:rsidP="00B7665F">
      <w:pPr>
        <w:rPr>
          <w:rFonts w:ascii="Garamond" w:hAnsi="Garamond"/>
        </w:rPr>
      </w:pPr>
      <w:r w:rsidRPr="00304E9D">
        <w:rPr>
          <w:rFonts w:ascii="Garamond" w:hAnsi="Garamond"/>
        </w:rPr>
        <w:t>Problem case</w:t>
      </w:r>
      <w:r w:rsidR="00B7665F">
        <w:rPr>
          <w:rFonts w:ascii="Garamond" w:hAnsi="Garamond"/>
        </w:rPr>
        <w:t xml:space="preserve"> 1: </w:t>
      </w:r>
      <w:r w:rsidR="00304E9D" w:rsidRPr="00304E9D">
        <w:rPr>
          <w:rFonts w:ascii="Garamond" w:hAnsi="Garamond"/>
          <w:i/>
        </w:rPr>
        <w:t xml:space="preserve">Suppose that a bunch of sticks are thrown into the air with a lot of spin, so that they twirl and tumble as they fall. We freeze the scene as the sticks are in free fall and find that appreciably more of them are near the horizontal than the vertical orientation. Why is this? The reason is that there are more ways for a stick to be near the horizontal than the vertical. To see this, consider a single stick with a fixed midpoint position. There are many ways this stick could be horizontal (spin it around the horizontal plane), but only two ways it could be vertical (up or down). </w:t>
      </w:r>
      <w:r w:rsidR="00304E9D" w:rsidRPr="00304E9D">
        <w:rPr>
          <w:rFonts w:ascii="Garamond" w:hAnsi="Garamond"/>
          <w:i/>
        </w:rPr>
        <w:lastRenderedPageBreak/>
        <w:t>This asymmetry remains for positions near horizontal and vertical, as you can see if you think about the full shell traced out by the stick as it takes all possible orientations.</w:t>
      </w:r>
      <w:r w:rsidR="00304E9D" w:rsidRPr="00304E9D">
        <w:rPr>
          <w:rStyle w:val="FootnoteReference"/>
          <w:i/>
        </w:rPr>
        <w:t xml:space="preserve"> </w:t>
      </w:r>
      <w:r w:rsidR="00304E9D" w:rsidRPr="00304E9D">
        <w:rPr>
          <w:rStyle w:val="FootnoteReference"/>
          <w:i/>
        </w:rPr>
        <w:footnoteReference w:id="2"/>
      </w:r>
    </w:p>
    <w:p w14:paraId="5D9A7F51" w14:textId="77777777" w:rsidR="00304E9D" w:rsidRPr="00304E9D" w:rsidRDefault="00304E9D" w:rsidP="0055327C">
      <w:pPr>
        <w:rPr>
          <w:rFonts w:ascii="Garamond" w:hAnsi="Garamond"/>
          <w:i/>
        </w:rPr>
      </w:pPr>
    </w:p>
    <w:p w14:paraId="0128A36C" w14:textId="7996EFDB" w:rsidR="0055327C" w:rsidRPr="00304E9D" w:rsidRDefault="00B7665F" w:rsidP="00B7665F">
      <w:pPr>
        <w:rPr>
          <w:rFonts w:ascii="Garamond" w:hAnsi="Garamond"/>
        </w:rPr>
      </w:pPr>
      <w:r>
        <w:rPr>
          <w:rFonts w:ascii="Garamond" w:hAnsi="Garamond"/>
        </w:rPr>
        <w:t xml:space="preserve">Problem case 2: </w:t>
      </w:r>
      <w:r w:rsidR="0055327C" w:rsidRPr="00304E9D">
        <w:rPr>
          <w:rFonts w:ascii="Garamond" w:hAnsi="Garamond"/>
          <w:i/>
        </w:rPr>
        <w:t>The fact that twenty-three cannot be divided evenly by three explains why it is that Mother fails every time she tries to distribute exactly twenty-three strawberries evenly among her three children without cutting any (strawberries!).</w:t>
      </w:r>
      <w:r w:rsidR="0055327C" w:rsidRPr="00304E9D">
        <w:rPr>
          <w:rFonts w:ascii="Garamond" w:hAnsi="Garamond"/>
          <w:i/>
          <w:vertAlign w:val="superscript"/>
        </w:rPr>
        <w:footnoteReference w:id="3"/>
      </w:r>
    </w:p>
    <w:p w14:paraId="44D25BED" w14:textId="77777777" w:rsidR="008F23BC" w:rsidRPr="00304E9D" w:rsidRDefault="008F23BC" w:rsidP="00C56B2C">
      <w:pPr>
        <w:rPr>
          <w:rFonts w:ascii="Garamond" w:hAnsi="Garamond"/>
        </w:rPr>
      </w:pPr>
    </w:p>
    <w:p w14:paraId="00E35AA4" w14:textId="2CD87AD6" w:rsidR="00C56B2C" w:rsidRPr="00304E9D" w:rsidRDefault="008F23BC" w:rsidP="00C56B2C">
      <w:pPr>
        <w:rPr>
          <w:rFonts w:ascii="Garamond" w:hAnsi="Garamond"/>
        </w:rPr>
      </w:pPr>
      <w:r w:rsidRPr="00304E9D">
        <w:rPr>
          <w:rFonts w:ascii="Garamond" w:hAnsi="Garamond"/>
        </w:rPr>
        <w:t>E</w:t>
      </w:r>
      <w:r w:rsidR="00C56B2C" w:rsidRPr="00304E9D">
        <w:rPr>
          <w:rFonts w:ascii="Garamond" w:hAnsi="Garamond"/>
        </w:rPr>
        <w:t>xplanation is</w:t>
      </w:r>
      <w:r w:rsidRPr="00304E9D">
        <w:rPr>
          <w:rFonts w:ascii="Garamond" w:hAnsi="Garamond"/>
        </w:rPr>
        <w:t xml:space="preserve"> a</w:t>
      </w:r>
      <w:r w:rsidR="00C56B2C" w:rsidRPr="00304E9D">
        <w:rPr>
          <w:rFonts w:ascii="Garamond" w:hAnsi="Garamond"/>
        </w:rPr>
        <w:t xml:space="preserve"> </w:t>
      </w:r>
      <w:proofErr w:type="spellStart"/>
      <w:r w:rsidR="00C56B2C" w:rsidRPr="00304E9D">
        <w:rPr>
          <w:rFonts w:ascii="Garamond" w:hAnsi="Garamond"/>
        </w:rPr>
        <w:t>hyperintensional</w:t>
      </w:r>
      <w:proofErr w:type="spellEnd"/>
      <w:r w:rsidR="00C56B2C" w:rsidRPr="00304E9D">
        <w:rPr>
          <w:rFonts w:ascii="Garamond" w:hAnsi="Garamond"/>
        </w:rPr>
        <w:t xml:space="preserve"> </w:t>
      </w:r>
      <w:r w:rsidRPr="00304E9D">
        <w:rPr>
          <w:rFonts w:ascii="Garamond" w:hAnsi="Garamond"/>
        </w:rPr>
        <w:t xml:space="preserve">context (substitution of necessarily equivalent sentences does not always preserve truth-value), and MODAL cannot accommodate this. </w:t>
      </w:r>
    </w:p>
    <w:p w14:paraId="33AA5DDA" w14:textId="77777777" w:rsidR="00525DA3" w:rsidRDefault="00525DA3" w:rsidP="00C56B2C">
      <w:pPr>
        <w:rPr>
          <w:rFonts w:ascii="Garamond" w:hAnsi="Garamond"/>
        </w:rPr>
      </w:pPr>
    </w:p>
    <w:p w14:paraId="00D514F0" w14:textId="15F31A86" w:rsidR="00B7665F" w:rsidRDefault="00B7665F" w:rsidP="00C56B2C">
      <w:pPr>
        <w:rPr>
          <w:rFonts w:ascii="Garamond" w:hAnsi="Garamond"/>
        </w:rPr>
      </w:pPr>
      <w:r>
        <w:rPr>
          <w:rFonts w:ascii="Garamond" w:hAnsi="Garamond"/>
        </w:rPr>
        <w:t>3. Failed account 2</w:t>
      </w:r>
    </w:p>
    <w:p w14:paraId="0990E021" w14:textId="77777777" w:rsidR="00B7665F" w:rsidRPr="00304E9D" w:rsidRDefault="00B7665F" w:rsidP="00C56B2C">
      <w:pPr>
        <w:rPr>
          <w:rFonts w:ascii="Garamond" w:hAnsi="Garamond"/>
        </w:rPr>
      </w:pPr>
    </w:p>
    <w:p w14:paraId="0F094851" w14:textId="77777777" w:rsidR="008F23BC" w:rsidRPr="00304E9D" w:rsidRDefault="008F23BC" w:rsidP="008F23BC">
      <w:pPr>
        <w:ind w:left="720"/>
        <w:rPr>
          <w:rFonts w:ascii="Garamond" w:hAnsi="Garamond"/>
        </w:rPr>
      </w:pPr>
      <w:r w:rsidRPr="00304E9D">
        <w:rPr>
          <w:rFonts w:ascii="Garamond" w:hAnsi="Garamond"/>
        </w:rPr>
        <w:t xml:space="preserve">HYPERINTENSIONAL </w:t>
      </w:r>
      <w:proofErr w:type="gramStart"/>
      <w:r w:rsidRPr="00304E9D">
        <w:rPr>
          <w:rFonts w:ascii="Garamond" w:hAnsi="Garamond"/>
        </w:rPr>
        <w:t>For</w:t>
      </w:r>
      <w:proofErr w:type="gramEnd"/>
      <w:r w:rsidRPr="00304E9D">
        <w:rPr>
          <w:rFonts w:ascii="Garamond" w:hAnsi="Garamond"/>
        </w:rPr>
        <w:t xml:space="preserve"> sufficient explanatory distance the </w:t>
      </w:r>
      <w:proofErr w:type="spellStart"/>
      <w:r w:rsidRPr="00304E9D">
        <w:rPr>
          <w:rFonts w:ascii="Garamond" w:hAnsi="Garamond"/>
        </w:rPr>
        <w:t>explanans</w:t>
      </w:r>
      <w:proofErr w:type="spellEnd"/>
      <w:r w:rsidRPr="00304E9D">
        <w:rPr>
          <w:rFonts w:ascii="Garamond" w:hAnsi="Garamond"/>
        </w:rPr>
        <w:t xml:space="preserve"> and </w:t>
      </w:r>
      <w:proofErr w:type="spellStart"/>
      <w:r w:rsidRPr="00304E9D">
        <w:rPr>
          <w:rFonts w:ascii="Garamond" w:hAnsi="Garamond"/>
        </w:rPr>
        <w:t>explanandum</w:t>
      </w:r>
      <w:proofErr w:type="spellEnd"/>
      <w:r w:rsidRPr="00304E9D">
        <w:rPr>
          <w:rFonts w:ascii="Garamond" w:hAnsi="Garamond"/>
        </w:rPr>
        <w:t xml:space="preserve"> must be at least </w:t>
      </w:r>
      <w:proofErr w:type="spellStart"/>
      <w:r w:rsidRPr="00304E9D">
        <w:rPr>
          <w:rFonts w:ascii="Garamond" w:hAnsi="Garamond"/>
        </w:rPr>
        <w:t>hyperintensionally</w:t>
      </w:r>
      <w:proofErr w:type="spellEnd"/>
      <w:r w:rsidRPr="00304E9D">
        <w:rPr>
          <w:rFonts w:ascii="Garamond" w:hAnsi="Garamond"/>
        </w:rPr>
        <w:t xml:space="preserve"> distinct, such that substituting either for the other in a </w:t>
      </w:r>
      <w:proofErr w:type="spellStart"/>
      <w:r w:rsidRPr="00304E9D">
        <w:rPr>
          <w:rFonts w:ascii="Garamond" w:hAnsi="Garamond"/>
        </w:rPr>
        <w:t>hyperintensional</w:t>
      </w:r>
      <w:proofErr w:type="spellEnd"/>
      <w:r w:rsidRPr="00304E9D">
        <w:rPr>
          <w:rFonts w:ascii="Garamond" w:hAnsi="Garamond"/>
        </w:rPr>
        <w:t xml:space="preserve"> context does not guarantee preservation of truth-value. </w:t>
      </w:r>
    </w:p>
    <w:p w14:paraId="42DC8467" w14:textId="77777777" w:rsidR="00E572B4" w:rsidRPr="00304E9D" w:rsidRDefault="00E572B4" w:rsidP="00C56B2C">
      <w:pPr>
        <w:rPr>
          <w:rFonts w:ascii="Garamond" w:hAnsi="Garamond"/>
        </w:rPr>
      </w:pPr>
    </w:p>
    <w:p w14:paraId="00E1BD7F" w14:textId="6E53B5DC" w:rsidR="008F23BC" w:rsidRPr="00304E9D" w:rsidRDefault="00525DA3" w:rsidP="00C56B2C">
      <w:pPr>
        <w:rPr>
          <w:rFonts w:ascii="Garamond" w:hAnsi="Garamond"/>
        </w:rPr>
      </w:pPr>
      <w:r>
        <w:rPr>
          <w:rFonts w:ascii="Garamond" w:hAnsi="Garamond"/>
        </w:rPr>
        <w:t xml:space="preserve">The </w:t>
      </w:r>
      <w:proofErr w:type="spellStart"/>
      <w:r>
        <w:rPr>
          <w:rFonts w:ascii="Garamond" w:hAnsi="Garamond"/>
        </w:rPr>
        <w:t>dormitive</w:t>
      </w:r>
      <w:proofErr w:type="spellEnd"/>
      <w:r>
        <w:rPr>
          <w:rFonts w:ascii="Garamond" w:hAnsi="Garamond"/>
        </w:rPr>
        <w:t xml:space="preserve"> virtue case</w:t>
      </w:r>
      <w:r w:rsidR="008F23BC" w:rsidRPr="00304E9D">
        <w:rPr>
          <w:rFonts w:ascii="Garamond" w:hAnsi="Garamond"/>
        </w:rPr>
        <w:t xml:space="preserve"> lacks s</w:t>
      </w:r>
      <w:r w:rsidR="009B4AB3" w:rsidRPr="00304E9D">
        <w:rPr>
          <w:rFonts w:ascii="Garamond" w:hAnsi="Garamond"/>
        </w:rPr>
        <w:t>ufficient explanatory distance but</w:t>
      </w:r>
      <w:r w:rsidR="008F23BC" w:rsidRPr="00304E9D">
        <w:rPr>
          <w:rFonts w:ascii="Garamond" w:hAnsi="Garamond"/>
        </w:rPr>
        <w:t xml:space="preserve"> meets HYPERINTENSIONAL, because it might be true that “John believes that opium reliably sends people to sleep” while false that “John believes that opium has a </w:t>
      </w:r>
      <w:proofErr w:type="spellStart"/>
      <w:r w:rsidR="008F23BC" w:rsidRPr="00304E9D">
        <w:rPr>
          <w:rFonts w:ascii="Garamond" w:hAnsi="Garamond"/>
        </w:rPr>
        <w:t>dormitive</w:t>
      </w:r>
      <w:proofErr w:type="spellEnd"/>
      <w:r w:rsidR="008F23BC" w:rsidRPr="00304E9D">
        <w:rPr>
          <w:rFonts w:ascii="Garamond" w:hAnsi="Garamond"/>
        </w:rPr>
        <w:t xml:space="preserve"> virtue”, and belief is a </w:t>
      </w:r>
      <w:proofErr w:type="spellStart"/>
      <w:r w:rsidR="008F23BC" w:rsidRPr="00304E9D">
        <w:rPr>
          <w:rFonts w:ascii="Garamond" w:hAnsi="Garamond"/>
        </w:rPr>
        <w:t>hyperintensional</w:t>
      </w:r>
      <w:proofErr w:type="spellEnd"/>
      <w:r w:rsidR="008F23BC" w:rsidRPr="00304E9D">
        <w:rPr>
          <w:rFonts w:ascii="Garamond" w:hAnsi="Garamond"/>
        </w:rPr>
        <w:t xml:space="preserve"> context. </w:t>
      </w:r>
    </w:p>
    <w:p w14:paraId="29DF4C2A" w14:textId="77777777" w:rsidR="00525DA3" w:rsidRDefault="00525DA3" w:rsidP="00C56B2C">
      <w:pPr>
        <w:rPr>
          <w:rFonts w:ascii="Garamond" w:hAnsi="Garamond"/>
        </w:rPr>
      </w:pPr>
    </w:p>
    <w:p w14:paraId="6F2F546D" w14:textId="661D23C6" w:rsidR="008F23BC" w:rsidRPr="00304E9D" w:rsidRDefault="00B7665F" w:rsidP="00C56B2C">
      <w:pPr>
        <w:rPr>
          <w:rFonts w:ascii="Garamond" w:hAnsi="Garamond"/>
        </w:rPr>
      </w:pPr>
      <w:r>
        <w:rPr>
          <w:rFonts w:ascii="Garamond" w:hAnsi="Garamond"/>
        </w:rPr>
        <w:t>4</w:t>
      </w:r>
      <w:r w:rsidR="008F23BC" w:rsidRPr="00304E9D">
        <w:rPr>
          <w:rFonts w:ascii="Garamond" w:hAnsi="Garamond"/>
        </w:rPr>
        <w:t xml:space="preserve">. Alternative proposal: </w:t>
      </w:r>
      <w:r>
        <w:rPr>
          <w:rFonts w:ascii="Garamond" w:hAnsi="Garamond"/>
        </w:rPr>
        <w:t>Understand distance in terms of dependence</w:t>
      </w:r>
    </w:p>
    <w:p w14:paraId="50469955" w14:textId="77777777" w:rsidR="008F23BC" w:rsidRPr="00304E9D" w:rsidRDefault="008F23BC" w:rsidP="00C56B2C">
      <w:pPr>
        <w:rPr>
          <w:rFonts w:ascii="Garamond" w:hAnsi="Garamond"/>
        </w:rPr>
      </w:pPr>
    </w:p>
    <w:p w14:paraId="63FB4727" w14:textId="77777777" w:rsidR="008F23BC" w:rsidRPr="00304E9D" w:rsidRDefault="008F23BC" w:rsidP="008F23BC">
      <w:pPr>
        <w:ind w:left="720"/>
        <w:rPr>
          <w:rFonts w:ascii="Garamond" w:hAnsi="Garamond"/>
        </w:rPr>
      </w:pPr>
      <w:r w:rsidRPr="00304E9D">
        <w:rPr>
          <w:rFonts w:ascii="Garamond" w:hAnsi="Garamond"/>
        </w:rPr>
        <w:t xml:space="preserve">DEPENDENCE For sufficient explanatory distance the </w:t>
      </w:r>
      <w:proofErr w:type="spellStart"/>
      <w:r w:rsidRPr="00304E9D">
        <w:rPr>
          <w:rFonts w:ascii="Garamond" w:hAnsi="Garamond"/>
        </w:rPr>
        <w:t>explanandum</w:t>
      </w:r>
      <w:proofErr w:type="spellEnd"/>
      <w:r w:rsidRPr="00304E9D">
        <w:rPr>
          <w:rFonts w:ascii="Garamond" w:hAnsi="Garamond"/>
        </w:rPr>
        <w:t xml:space="preserve"> must be shown to asymmetrically depend upon the </w:t>
      </w:r>
      <w:proofErr w:type="spellStart"/>
      <w:r w:rsidRPr="00304E9D">
        <w:rPr>
          <w:rFonts w:ascii="Garamond" w:hAnsi="Garamond"/>
        </w:rPr>
        <w:t>explanans</w:t>
      </w:r>
      <w:proofErr w:type="spellEnd"/>
      <w:r w:rsidRPr="00304E9D">
        <w:rPr>
          <w:rFonts w:ascii="Garamond" w:hAnsi="Garamond"/>
        </w:rPr>
        <w:t xml:space="preserve">, where the precise nature of that dependence will vary across different cases of explanation and different explanatory contexts. </w:t>
      </w:r>
    </w:p>
    <w:p w14:paraId="1C346E94" w14:textId="77777777" w:rsidR="008F23BC" w:rsidRPr="00304E9D" w:rsidRDefault="008F23BC" w:rsidP="008F23BC">
      <w:pPr>
        <w:rPr>
          <w:rFonts w:ascii="Garamond" w:hAnsi="Garamond"/>
        </w:rPr>
      </w:pPr>
    </w:p>
    <w:p w14:paraId="359CA9BA" w14:textId="5A858670" w:rsidR="000B6FB5" w:rsidRDefault="000B6FB5" w:rsidP="00C56B2C">
      <w:pPr>
        <w:rPr>
          <w:rFonts w:ascii="Garamond" w:hAnsi="Garamond"/>
        </w:rPr>
      </w:pPr>
      <w:r>
        <w:rPr>
          <w:rFonts w:ascii="Garamond" w:hAnsi="Garamond"/>
        </w:rPr>
        <w:t xml:space="preserve">Features of dependence: </w:t>
      </w:r>
      <w:proofErr w:type="spellStart"/>
      <w:r>
        <w:rPr>
          <w:rFonts w:ascii="Garamond" w:hAnsi="Garamond"/>
        </w:rPr>
        <w:t>Irreflexive</w:t>
      </w:r>
      <w:proofErr w:type="spellEnd"/>
      <w:r>
        <w:rPr>
          <w:rFonts w:ascii="Garamond" w:hAnsi="Garamond"/>
        </w:rPr>
        <w:t>, diverse, explanation-backing</w:t>
      </w:r>
    </w:p>
    <w:p w14:paraId="06F24BE8" w14:textId="4605268C" w:rsidR="00B7665F" w:rsidRDefault="008F23BC" w:rsidP="00C56B2C">
      <w:pPr>
        <w:rPr>
          <w:rFonts w:ascii="Garamond" w:hAnsi="Garamond"/>
        </w:rPr>
      </w:pPr>
      <w:r w:rsidRPr="00304E9D">
        <w:rPr>
          <w:rFonts w:ascii="Garamond" w:hAnsi="Garamond"/>
        </w:rPr>
        <w:t>Varieties of dependence: causal, grounding, ma</w:t>
      </w:r>
      <w:r w:rsidR="0055327C" w:rsidRPr="00304E9D">
        <w:rPr>
          <w:rFonts w:ascii="Garamond" w:hAnsi="Garamond"/>
        </w:rPr>
        <w:t xml:space="preserve">thematical, conceptual, logical… </w:t>
      </w:r>
    </w:p>
    <w:p w14:paraId="7679A42C" w14:textId="77777777" w:rsidR="00525DA3" w:rsidRDefault="00525DA3" w:rsidP="00C56B2C">
      <w:pPr>
        <w:rPr>
          <w:rFonts w:ascii="Garamond" w:hAnsi="Garamond"/>
        </w:rPr>
      </w:pPr>
    </w:p>
    <w:p w14:paraId="1856C91E" w14:textId="0271A56F" w:rsidR="00B7665F" w:rsidRDefault="00B7665F" w:rsidP="00C56B2C">
      <w:pPr>
        <w:rPr>
          <w:rFonts w:ascii="Garamond" w:hAnsi="Garamond"/>
        </w:rPr>
      </w:pPr>
      <w:r>
        <w:rPr>
          <w:rFonts w:ascii="Garamond" w:hAnsi="Garamond"/>
        </w:rPr>
        <w:t xml:space="preserve">5. Implications </w:t>
      </w:r>
    </w:p>
    <w:p w14:paraId="4F83620F" w14:textId="77777777" w:rsidR="000B6FB5" w:rsidRDefault="000B6FB5" w:rsidP="00C56B2C">
      <w:pPr>
        <w:rPr>
          <w:rFonts w:ascii="Garamond" w:hAnsi="Garamond"/>
        </w:rPr>
      </w:pPr>
    </w:p>
    <w:p w14:paraId="7E55BE73" w14:textId="3DA7EAB3" w:rsidR="000B6FB5" w:rsidRDefault="00525DA3" w:rsidP="00C56B2C">
      <w:pPr>
        <w:rPr>
          <w:rFonts w:ascii="Garamond" w:hAnsi="Garamond"/>
        </w:rPr>
      </w:pPr>
      <w:r>
        <w:rPr>
          <w:rFonts w:ascii="Garamond" w:hAnsi="Garamond"/>
        </w:rPr>
        <w:t>F</w:t>
      </w:r>
      <w:r w:rsidR="000B6FB5">
        <w:rPr>
          <w:rFonts w:ascii="Garamond" w:hAnsi="Garamond"/>
        </w:rPr>
        <w:t>or explanatory pluralism: diverse yet unified approach</w:t>
      </w:r>
      <w:r>
        <w:rPr>
          <w:rFonts w:ascii="Garamond" w:hAnsi="Garamond"/>
        </w:rPr>
        <w:t>.</w:t>
      </w:r>
    </w:p>
    <w:p w14:paraId="0B18492F" w14:textId="4EA4AACA" w:rsidR="00525DA3" w:rsidRDefault="00525DA3" w:rsidP="00C56B2C">
      <w:pPr>
        <w:rPr>
          <w:rFonts w:ascii="Garamond" w:hAnsi="Garamond"/>
        </w:rPr>
      </w:pPr>
      <w:r>
        <w:rPr>
          <w:rFonts w:ascii="Garamond" w:hAnsi="Garamond"/>
        </w:rPr>
        <w:t>F</w:t>
      </w:r>
      <w:r w:rsidR="000B6FB5">
        <w:rPr>
          <w:rFonts w:ascii="Garamond" w:hAnsi="Garamond"/>
        </w:rPr>
        <w:t xml:space="preserve">or grounding: </w:t>
      </w:r>
      <w:r>
        <w:rPr>
          <w:rFonts w:ascii="Garamond" w:hAnsi="Garamond"/>
        </w:rPr>
        <w:t xml:space="preserve">problem cases </w:t>
      </w:r>
      <w:r w:rsidR="00027564">
        <w:rPr>
          <w:rFonts w:ascii="Garamond" w:hAnsi="Garamond"/>
        </w:rPr>
        <w:t xml:space="preserve">may meet criteria for appropriate distance while still being contextually inappropriate. </w:t>
      </w:r>
      <w:bookmarkStart w:id="0" w:name="_GoBack"/>
      <w:bookmarkEnd w:id="0"/>
    </w:p>
    <w:p w14:paraId="0777F4B6" w14:textId="77777777" w:rsidR="00525DA3" w:rsidRDefault="00525DA3" w:rsidP="00C56B2C">
      <w:pPr>
        <w:rPr>
          <w:rFonts w:ascii="Garamond" w:hAnsi="Garamond"/>
        </w:rPr>
      </w:pPr>
    </w:p>
    <w:p w14:paraId="3DBC4280" w14:textId="7A500BB4" w:rsidR="00525DA3" w:rsidRDefault="00525DA3" w:rsidP="00C56B2C">
      <w:pPr>
        <w:rPr>
          <w:rFonts w:ascii="Garamond" w:hAnsi="Garamond"/>
        </w:rPr>
      </w:pPr>
      <w:r>
        <w:rPr>
          <w:rFonts w:ascii="Garamond" w:hAnsi="Garamond"/>
        </w:rPr>
        <w:t>6. Objections</w:t>
      </w:r>
    </w:p>
    <w:p w14:paraId="1C74B561" w14:textId="77777777" w:rsidR="00525DA3" w:rsidRDefault="00525DA3" w:rsidP="00C56B2C">
      <w:pPr>
        <w:rPr>
          <w:rFonts w:ascii="Garamond" w:hAnsi="Garamond"/>
        </w:rPr>
      </w:pPr>
    </w:p>
    <w:p w14:paraId="445F18D7" w14:textId="1B499CFD" w:rsidR="00525DA3" w:rsidRPr="00525DA3" w:rsidRDefault="00525DA3" w:rsidP="00525DA3">
      <w:pPr>
        <w:pStyle w:val="ListParagraph"/>
        <w:numPr>
          <w:ilvl w:val="0"/>
          <w:numId w:val="10"/>
        </w:numPr>
        <w:rPr>
          <w:rFonts w:ascii="Garamond" w:hAnsi="Garamond"/>
        </w:rPr>
      </w:pPr>
      <w:r w:rsidRPr="00525DA3">
        <w:rPr>
          <w:rFonts w:ascii="Garamond" w:hAnsi="Garamond"/>
        </w:rPr>
        <w:t>What About the Problem cases?</w:t>
      </w:r>
    </w:p>
    <w:p w14:paraId="0F48B857" w14:textId="0FF70868" w:rsidR="00525DA3" w:rsidRPr="00525DA3" w:rsidRDefault="00525DA3" w:rsidP="00525DA3">
      <w:pPr>
        <w:pStyle w:val="ListParagraph"/>
        <w:numPr>
          <w:ilvl w:val="0"/>
          <w:numId w:val="10"/>
        </w:numPr>
        <w:rPr>
          <w:rFonts w:ascii="Garamond" w:hAnsi="Garamond"/>
        </w:rPr>
      </w:pPr>
      <w:r w:rsidRPr="00525DA3">
        <w:rPr>
          <w:rFonts w:ascii="Garamond" w:hAnsi="Garamond"/>
        </w:rPr>
        <w:t>Identity Explanations</w:t>
      </w:r>
      <w:r>
        <w:rPr>
          <w:rFonts w:ascii="Garamond" w:hAnsi="Garamond"/>
        </w:rPr>
        <w:t>.</w:t>
      </w:r>
    </w:p>
    <w:sectPr w:rsidR="00525DA3" w:rsidRPr="00525DA3" w:rsidSect="00EF5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2B86" w14:textId="77777777" w:rsidR="00AE2833" w:rsidRDefault="00AE2833" w:rsidP="00C56B2C">
      <w:r>
        <w:separator/>
      </w:r>
    </w:p>
  </w:endnote>
  <w:endnote w:type="continuationSeparator" w:id="0">
    <w:p w14:paraId="0CE448B7" w14:textId="77777777" w:rsidR="00AE2833" w:rsidRDefault="00AE2833" w:rsidP="00C5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D635" w14:textId="77777777" w:rsidR="00AE2833" w:rsidRDefault="00AE2833" w:rsidP="00C56B2C">
      <w:r>
        <w:separator/>
      </w:r>
    </w:p>
  </w:footnote>
  <w:footnote w:type="continuationSeparator" w:id="0">
    <w:p w14:paraId="3BAFC39F" w14:textId="77777777" w:rsidR="00AE2833" w:rsidRDefault="00AE2833" w:rsidP="00C56B2C">
      <w:r>
        <w:continuationSeparator/>
      </w:r>
    </w:p>
  </w:footnote>
  <w:footnote w:id="1">
    <w:p w14:paraId="5ED7C01A" w14:textId="59E50481" w:rsidR="003F59B9" w:rsidRPr="00B7665F" w:rsidRDefault="0055327C" w:rsidP="003F59B9">
      <w:pPr>
        <w:pStyle w:val="FootnoteText"/>
        <w:rPr>
          <w:sz w:val="20"/>
          <w:szCs w:val="20"/>
        </w:rPr>
      </w:pPr>
      <w:r w:rsidRPr="00B7665F">
        <w:rPr>
          <w:rStyle w:val="FootnoteReference"/>
          <w:sz w:val="20"/>
          <w:szCs w:val="20"/>
        </w:rPr>
        <w:footnoteRef/>
      </w:r>
      <w:r w:rsidRPr="00B7665F">
        <w:rPr>
          <w:sz w:val="20"/>
          <w:szCs w:val="20"/>
        </w:rPr>
        <w:t xml:space="preserve"> </w:t>
      </w:r>
      <w:r w:rsidR="003F59B9" w:rsidRPr="00B7665F">
        <w:rPr>
          <w:sz w:val="20"/>
          <w:szCs w:val="20"/>
        </w:rPr>
        <w:t xml:space="preserve">American Psychiatric Association (2013) </w:t>
      </w:r>
      <w:r w:rsidR="003F59B9" w:rsidRPr="00B7665F">
        <w:rPr>
          <w:i/>
          <w:sz w:val="20"/>
          <w:szCs w:val="20"/>
        </w:rPr>
        <w:t>Diagnostic and Statistical Manual of Mental Disorders</w:t>
      </w:r>
      <w:r w:rsidR="003F59B9" w:rsidRPr="00B7665F">
        <w:rPr>
          <w:sz w:val="20"/>
          <w:szCs w:val="20"/>
        </w:rPr>
        <w:t xml:space="preserve"> (5th ed.) </w:t>
      </w:r>
      <w:proofErr w:type="spellStart"/>
      <w:r w:rsidR="003F59B9" w:rsidRPr="00B7665F">
        <w:rPr>
          <w:sz w:val="20"/>
          <w:szCs w:val="20"/>
        </w:rPr>
        <w:t>pg</w:t>
      </w:r>
      <w:proofErr w:type="spellEnd"/>
      <w:r w:rsidR="003F59B9" w:rsidRPr="00B7665F">
        <w:rPr>
          <w:sz w:val="20"/>
          <w:szCs w:val="20"/>
        </w:rPr>
        <w:t xml:space="preserve"> 466ff. </w:t>
      </w:r>
      <w:r w:rsidR="003F59B9" w:rsidRPr="00B7665F">
        <w:rPr>
          <w:bCs/>
          <w:sz w:val="20"/>
          <w:szCs w:val="20"/>
        </w:rPr>
        <w:t>312.34 (F63.81)</w:t>
      </w:r>
    </w:p>
    <w:p w14:paraId="6D1528DC" w14:textId="12C3065C" w:rsidR="0055327C" w:rsidRDefault="0055327C">
      <w:pPr>
        <w:pStyle w:val="FootnoteText"/>
      </w:pPr>
    </w:p>
  </w:footnote>
  <w:footnote w:id="2">
    <w:p w14:paraId="2ED10F5C" w14:textId="3D2B08B0" w:rsidR="00304E9D" w:rsidRPr="00404C25" w:rsidRDefault="00304E9D" w:rsidP="00404C25">
      <w:pPr>
        <w:rPr>
          <w:rFonts w:ascii="Garamond" w:hAnsi="Garamond"/>
          <w:sz w:val="20"/>
          <w:szCs w:val="20"/>
        </w:rPr>
      </w:pPr>
      <w:r w:rsidRPr="00404C25">
        <w:rPr>
          <w:rStyle w:val="FootnoteReference"/>
          <w:rFonts w:ascii="Garamond" w:hAnsi="Garamond"/>
          <w:sz w:val="20"/>
          <w:szCs w:val="20"/>
        </w:rPr>
        <w:footnoteRef/>
      </w:r>
      <w:r w:rsidRPr="00404C25">
        <w:rPr>
          <w:rFonts w:ascii="Garamond" w:hAnsi="Garamond"/>
          <w:sz w:val="20"/>
          <w:szCs w:val="20"/>
        </w:rPr>
        <w:t xml:space="preserve"> </w:t>
      </w:r>
      <w:r w:rsidR="00404C25" w:rsidRPr="00404C25">
        <w:rPr>
          <w:rFonts w:ascii="Garamond" w:hAnsi="Garamond"/>
          <w:sz w:val="20"/>
          <w:szCs w:val="20"/>
        </w:rPr>
        <w:t>Lipton, P. (2001) “What Good is an Explanation?” reprinted in Cornwell, J. (</w:t>
      </w:r>
      <w:proofErr w:type="spellStart"/>
      <w:r w:rsidR="00404C25" w:rsidRPr="00404C25">
        <w:rPr>
          <w:rFonts w:ascii="Garamond" w:hAnsi="Garamond"/>
          <w:sz w:val="20"/>
          <w:szCs w:val="20"/>
        </w:rPr>
        <w:t>ed</w:t>
      </w:r>
      <w:proofErr w:type="spellEnd"/>
      <w:r w:rsidR="00404C25" w:rsidRPr="00404C25">
        <w:rPr>
          <w:rFonts w:ascii="Garamond" w:hAnsi="Garamond"/>
          <w:sz w:val="20"/>
          <w:szCs w:val="20"/>
        </w:rPr>
        <w:t xml:space="preserve">) (2004) </w:t>
      </w:r>
      <w:r w:rsidR="00404C25" w:rsidRPr="00404C25">
        <w:rPr>
          <w:rFonts w:ascii="Garamond" w:hAnsi="Garamond"/>
          <w:i/>
          <w:sz w:val="20"/>
          <w:szCs w:val="20"/>
        </w:rPr>
        <w:t>Explanations: Styles of Explanation in Science</w:t>
      </w:r>
      <w:r w:rsidR="00404C25" w:rsidRPr="00404C25">
        <w:rPr>
          <w:rFonts w:ascii="Garamond" w:hAnsi="Garamond"/>
          <w:sz w:val="20"/>
          <w:szCs w:val="20"/>
        </w:rPr>
        <w:t xml:space="preserve">. Oxford University Press. </w:t>
      </w:r>
      <w:proofErr w:type="spellStart"/>
      <w:r w:rsidRPr="00404C25">
        <w:rPr>
          <w:rFonts w:ascii="Garamond" w:hAnsi="Garamond"/>
          <w:sz w:val="20"/>
          <w:szCs w:val="20"/>
        </w:rPr>
        <w:t>pg</w:t>
      </w:r>
      <w:proofErr w:type="spellEnd"/>
      <w:r w:rsidRPr="00404C25">
        <w:rPr>
          <w:rFonts w:ascii="Garamond" w:hAnsi="Garamond"/>
          <w:sz w:val="20"/>
          <w:szCs w:val="20"/>
        </w:rPr>
        <w:t xml:space="preserve"> 9.</w:t>
      </w:r>
    </w:p>
  </w:footnote>
  <w:footnote w:id="3">
    <w:p w14:paraId="3C5CBE78" w14:textId="62EB6789" w:rsidR="003F59B9" w:rsidRPr="00B7665F" w:rsidRDefault="0055327C" w:rsidP="003F59B9">
      <w:pPr>
        <w:pStyle w:val="FootnoteText"/>
        <w:rPr>
          <w:rFonts w:cs="Times"/>
          <w:sz w:val="20"/>
          <w:szCs w:val="20"/>
        </w:rPr>
      </w:pPr>
      <w:r w:rsidRPr="00B7665F">
        <w:rPr>
          <w:rStyle w:val="FootnoteReference"/>
          <w:sz w:val="20"/>
          <w:szCs w:val="20"/>
        </w:rPr>
        <w:footnoteRef/>
      </w:r>
      <w:r w:rsidRPr="00B7665F">
        <w:rPr>
          <w:sz w:val="20"/>
          <w:szCs w:val="20"/>
        </w:rPr>
        <w:t xml:space="preserve"> </w:t>
      </w:r>
      <w:r w:rsidR="003F59B9" w:rsidRPr="00B7665F">
        <w:rPr>
          <w:sz w:val="20"/>
          <w:szCs w:val="20"/>
        </w:rPr>
        <w:t xml:space="preserve">Lange, M. (2013) “What Makes a Scientific Explanation Distinctively Mathematical?” </w:t>
      </w:r>
      <w:r w:rsidR="003F59B9" w:rsidRPr="00B7665F">
        <w:rPr>
          <w:i/>
          <w:sz w:val="20"/>
          <w:szCs w:val="20"/>
        </w:rPr>
        <w:t>British Journal for the Philosophy of Science</w:t>
      </w:r>
      <w:r w:rsidR="003F59B9" w:rsidRPr="00B7665F">
        <w:rPr>
          <w:sz w:val="20"/>
          <w:szCs w:val="20"/>
        </w:rPr>
        <w:t xml:space="preserve"> </w:t>
      </w:r>
      <w:proofErr w:type="spellStart"/>
      <w:r w:rsidRPr="00B7665F">
        <w:rPr>
          <w:sz w:val="20"/>
          <w:szCs w:val="20"/>
        </w:rPr>
        <w:t>pg</w:t>
      </w:r>
      <w:proofErr w:type="spellEnd"/>
      <w:r w:rsidRPr="00B7665F">
        <w:rPr>
          <w:sz w:val="20"/>
          <w:szCs w:val="20"/>
        </w:rPr>
        <w:t xml:space="preserve"> 488. Inspired by Braine, in </w:t>
      </w:r>
      <w:r w:rsidR="003F59B9" w:rsidRPr="00B7665F">
        <w:rPr>
          <w:rFonts w:cs="Times"/>
          <w:sz w:val="20"/>
          <w:szCs w:val="20"/>
        </w:rPr>
        <w:t xml:space="preserve">Braine, D. (1972) Braine, D. (1972) “Varieties of Necessity”, </w:t>
      </w:r>
      <w:r w:rsidR="003F59B9" w:rsidRPr="00B7665F">
        <w:rPr>
          <w:rFonts w:cs="Times"/>
          <w:i/>
          <w:sz w:val="20"/>
          <w:szCs w:val="20"/>
        </w:rPr>
        <w:t>Supplementary Proceedings of the Aristotelian Society,</w:t>
      </w:r>
      <w:r w:rsidR="003F59B9" w:rsidRPr="00B7665F">
        <w:rPr>
          <w:rFonts w:cs="Times"/>
          <w:sz w:val="20"/>
          <w:szCs w:val="20"/>
        </w:rPr>
        <w:t xml:space="preserve"> 46, pp. 139–70.</w:t>
      </w:r>
    </w:p>
    <w:p w14:paraId="287A39C1" w14:textId="64B50B05" w:rsidR="0055327C" w:rsidRPr="00BB7950" w:rsidRDefault="0055327C" w:rsidP="0055327C">
      <w:pPr>
        <w:pStyle w:val="FootnoteText"/>
        <w:rPr>
          <w:sz w:val="22"/>
          <w:szCs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AEA"/>
    <w:multiLevelType w:val="hybridMultilevel"/>
    <w:tmpl w:val="AE1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31E9"/>
    <w:multiLevelType w:val="hybridMultilevel"/>
    <w:tmpl w:val="0CF2E7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F460F4"/>
    <w:multiLevelType w:val="hybridMultilevel"/>
    <w:tmpl w:val="7F36BC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C06D3"/>
    <w:multiLevelType w:val="hybridMultilevel"/>
    <w:tmpl w:val="7D2C6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F6E54"/>
    <w:multiLevelType w:val="hybridMultilevel"/>
    <w:tmpl w:val="AA1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10EAC"/>
    <w:multiLevelType w:val="hybridMultilevel"/>
    <w:tmpl w:val="0D40A8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7B5FAB"/>
    <w:multiLevelType w:val="hybridMultilevel"/>
    <w:tmpl w:val="CC4CF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645BCF"/>
    <w:multiLevelType w:val="hybridMultilevel"/>
    <w:tmpl w:val="E166B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C732C"/>
    <w:multiLevelType w:val="hybridMultilevel"/>
    <w:tmpl w:val="5C6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72BDD"/>
    <w:multiLevelType w:val="hybridMultilevel"/>
    <w:tmpl w:val="D9B4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30"/>
    <w:rsid w:val="00027564"/>
    <w:rsid w:val="000B6FB5"/>
    <w:rsid w:val="00191768"/>
    <w:rsid w:val="001C2B7A"/>
    <w:rsid w:val="002371D0"/>
    <w:rsid w:val="002A1465"/>
    <w:rsid w:val="002F1C26"/>
    <w:rsid w:val="002F21D6"/>
    <w:rsid w:val="00304E9D"/>
    <w:rsid w:val="003553E1"/>
    <w:rsid w:val="003F59B9"/>
    <w:rsid w:val="00404C25"/>
    <w:rsid w:val="00525DA3"/>
    <w:rsid w:val="0055327C"/>
    <w:rsid w:val="00632729"/>
    <w:rsid w:val="006D4648"/>
    <w:rsid w:val="006E3F6B"/>
    <w:rsid w:val="00766C61"/>
    <w:rsid w:val="008A4742"/>
    <w:rsid w:val="008F23BC"/>
    <w:rsid w:val="009B4AB3"/>
    <w:rsid w:val="00AE2833"/>
    <w:rsid w:val="00B7665F"/>
    <w:rsid w:val="00C56B2C"/>
    <w:rsid w:val="00E572B4"/>
    <w:rsid w:val="00EF558C"/>
    <w:rsid w:val="00F7692C"/>
    <w:rsid w:val="00FA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8E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230"/>
    <w:rPr>
      <w:color w:val="0563C1" w:themeColor="hyperlink"/>
      <w:u w:val="single"/>
    </w:rPr>
  </w:style>
  <w:style w:type="paragraph" w:customStyle="1" w:styleId="ETStandard">
    <w:name w:val="ET Standard"/>
    <w:basedOn w:val="Normal"/>
    <w:next w:val="Normal"/>
    <w:qFormat/>
    <w:rsid w:val="00FA5230"/>
    <w:rPr>
      <w:rFonts w:ascii="Garamond" w:hAnsi="Garamond"/>
    </w:rPr>
  </w:style>
  <w:style w:type="paragraph" w:styleId="ListParagraph">
    <w:name w:val="List Paragraph"/>
    <w:basedOn w:val="Normal"/>
    <w:uiPriority w:val="34"/>
    <w:qFormat/>
    <w:rsid w:val="00C56B2C"/>
    <w:pPr>
      <w:ind w:left="720"/>
      <w:contextualSpacing/>
    </w:pPr>
  </w:style>
  <w:style w:type="paragraph" w:styleId="FootnoteText">
    <w:name w:val="footnote text"/>
    <w:basedOn w:val="Normal"/>
    <w:link w:val="FootnoteTextChar"/>
    <w:uiPriority w:val="99"/>
    <w:unhideWhenUsed/>
    <w:rsid w:val="00C56B2C"/>
    <w:rPr>
      <w:rFonts w:ascii="Garamond" w:eastAsiaTheme="minorEastAsia" w:hAnsi="Garamond"/>
    </w:rPr>
  </w:style>
  <w:style w:type="character" w:customStyle="1" w:styleId="FootnoteTextChar">
    <w:name w:val="Footnote Text Char"/>
    <w:basedOn w:val="DefaultParagraphFont"/>
    <w:link w:val="FootnoteText"/>
    <w:uiPriority w:val="99"/>
    <w:rsid w:val="00C56B2C"/>
    <w:rPr>
      <w:rFonts w:ascii="Garamond" w:eastAsiaTheme="minorEastAsia" w:hAnsi="Garamond"/>
    </w:rPr>
  </w:style>
  <w:style w:type="character" w:styleId="FootnoteReference">
    <w:name w:val="footnote reference"/>
    <w:basedOn w:val="DefaultParagraphFont"/>
    <w:uiPriority w:val="99"/>
    <w:unhideWhenUsed/>
    <w:rsid w:val="00C56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2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anort@jh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672</Words>
  <Characters>3834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2017-09-28T17:25:00Z</dcterms:created>
  <dcterms:modified xsi:type="dcterms:W3CDTF">2017-10-02T14:46:00Z</dcterms:modified>
</cp:coreProperties>
</file>